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53" w:rsidRDefault="006E7902" w:rsidP="006E7902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 w:hanging="502"/>
        <w:jc w:val="both"/>
        <w:rPr>
          <w:rFonts w:ascii="Arial" w:eastAsia="Times New Roman" w:hAnsi="Arial" w:cs="Arial"/>
          <w:bCs/>
          <w:spacing w:val="-3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bCs/>
          <w:spacing w:val="-3"/>
          <w:lang w:eastAsia="en-AU"/>
        </w:rPr>
        <w:t>T</w:t>
      </w:r>
      <w:r w:rsidR="004010B5" w:rsidRPr="00026CCD">
        <w:rPr>
          <w:rFonts w:ascii="Arial" w:eastAsia="Times New Roman" w:hAnsi="Arial" w:cs="Arial"/>
          <w:bCs/>
          <w:spacing w:val="-3"/>
          <w:lang w:eastAsia="en-AU"/>
        </w:rPr>
        <w:t xml:space="preserve">he </w:t>
      </w:r>
      <w:r w:rsidR="00792140">
        <w:rPr>
          <w:rFonts w:ascii="Arial" w:eastAsia="Times New Roman" w:hAnsi="Arial" w:cs="Arial"/>
          <w:bCs/>
          <w:spacing w:val="-3"/>
          <w:lang w:eastAsia="en-AU"/>
        </w:rPr>
        <w:t xml:space="preserve">previous </w:t>
      </w:r>
      <w:r w:rsidR="004010B5" w:rsidRPr="00026CCD">
        <w:rPr>
          <w:rFonts w:ascii="Arial" w:eastAsia="Times New Roman" w:hAnsi="Arial" w:cs="Arial"/>
          <w:bCs/>
          <w:spacing w:val="-3"/>
          <w:lang w:eastAsia="en-AU"/>
        </w:rPr>
        <w:t xml:space="preserve">Government amended the </w:t>
      </w:r>
      <w:r w:rsidR="004010B5" w:rsidRPr="00026CCD">
        <w:rPr>
          <w:rFonts w:ascii="Arial" w:eastAsia="Times New Roman" w:hAnsi="Arial" w:cs="Arial"/>
          <w:bCs/>
          <w:i/>
          <w:spacing w:val="-3"/>
          <w:lang w:eastAsia="en-AU"/>
        </w:rPr>
        <w:t>Industrial Relations Act 1999</w:t>
      </w:r>
      <w:r w:rsidR="004010B5" w:rsidRPr="00026CCD">
        <w:rPr>
          <w:rFonts w:ascii="Arial" w:eastAsia="Times New Roman" w:hAnsi="Arial" w:cs="Arial"/>
          <w:bCs/>
          <w:spacing w:val="-3"/>
          <w:lang w:eastAsia="en-AU"/>
        </w:rPr>
        <w:t xml:space="preserve"> to alter the administrative functions of the president of the Queensland Industrial Relations Commission and impose an additional requirement on persons able to be appointed to the position of</w:t>
      </w:r>
      <w:r w:rsidR="007200AD" w:rsidRPr="00026CCD">
        <w:rPr>
          <w:rFonts w:ascii="Arial" w:eastAsia="Times New Roman" w:hAnsi="Arial" w:cs="Arial"/>
          <w:bCs/>
          <w:spacing w:val="-3"/>
          <w:lang w:eastAsia="en-AU"/>
        </w:rPr>
        <w:t xml:space="preserve"> deputy president (</w:t>
      </w:r>
      <w:r w:rsidR="00026CCD">
        <w:rPr>
          <w:rFonts w:ascii="Arial" w:eastAsia="Times New Roman" w:hAnsi="Arial" w:cs="Arial"/>
          <w:bCs/>
          <w:spacing w:val="-3"/>
          <w:lang w:eastAsia="en-AU"/>
        </w:rPr>
        <w:t>C</w:t>
      </w:r>
      <w:r w:rsidR="004010B5" w:rsidRPr="00026CCD">
        <w:rPr>
          <w:rFonts w:ascii="Arial" w:eastAsia="Times New Roman" w:hAnsi="Arial" w:cs="Arial"/>
          <w:bCs/>
          <w:spacing w:val="-3"/>
          <w:lang w:eastAsia="en-AU"/>
        </w:rPr>
        <w:t>ourt).</w:t>
      </w:r>
    </w:p>
    <w:p w:rsidR="00026CCD" w:rsidRDefault="006E7902" w:rsidP="006E7902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 w:hanging="502"/>
        <w:jc w:val="both"/>
        <w:rPr>
          <w:rFonts w:ascii="Arial" w:eastAsia="Times New Roman" w:hAnsi="Arial" w:cs="Arial"/>
          <w:bCs/>
          <w:spacing w:val="-3"/>
          <w:lang w:eastAsia="en-AU"/>
        </w:rPr>
      </w:pPr>
      <w:r>
        <w:rPr>
          <w:rFonts w:ascii="Arial" w:eastAsia="Times New Roman" w:hAnsi="Arial" w:cs="Arial"/>
          <w:bCs/>
          <w:spacing w:val="-3"/>
          <w:lang w:eastAsia="en-AU"/>
        </w:rPr>
        <w:t>T</w:t>
      </w:r>
      <w:r w:rsidR="00026CCD">
        <w:rPr>
          <w:rFonts w:ascii="Arial" w:eastAsia="Times New Roman" w:hAnsi="Arial" w:cs="Arial"/>
          <w:bCs/>
          <w:spacing w:val="-3"/>
          <w:lang w:eastAsia="en-AU"/>
        </w:rPr>
        <w:t xml:space="preserve">he administrative responsibility for the Commission and Registry </w:t>
      </w:r>
      <w:r>
        <w:rPr>
          <w:rFonts w:ascii="Arial" w:eastAsia="Times New Roman" w:hAnsi="Arial" w:cs="Arial"/>
          <w:bCs/>
          <w:spacing w:val="-3"/>
          <w:lang w:eastAsia="en-AU"/>
        </w:rPr>
        <w:t xml:space="preserve">is to </w:t>
      </w:r>
      <w:r w:rsidR="00026CCD">
        <w:rPr>
          <w:rFonts w:ascii="Arial" w:eastAsia="Times New Roman" w:hAnsi="Arial" w:cs="Arial"/>
          <w:bCs/>
          <w:spacing w:val="-3"/>
          <w:lang w:eastAsia="en-AU"/>
        </w:rPr>
        <w:t>be returned to the president.</w:t>
      </w:r>
    </w:p>
    <w:p w:rsidR="00026CCD" w:rsidRPr="00026CCD" w:rsidRDefault="00792140" w:rsidP="006E7902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 w:hanging="502"/>
        <w:jc w:val="both"/>
        <w:rPr>
          <w:rFonts w:ascii="Arial" w:eastAsia="Times New Roman" w:hAnsi="Arial" w:cs="Arial"/>
          <w:bCs/>
          <w:spacing w:val="-3"/>
          <w:lang w:eastAsia="en-AU"/>
        </w:rPr>
      </w:pPr>
      <w:r>
        <w:rPr>
          <w:rFonts w:ascii="Arial" w:eastAsia="Times New Roman" w:hAnsi="Arial" w:cs="Arial"/>
          <w:bCs/>
          <w:spacing w:val="-3"/>
          <w:lang w:eastAsia="en-AU"/>
        </w:rPr>
        <w:t>In addition,</w:t>
      </w:r>
      <w:r w:rsidR="00026CCD">
        <w:rPr>
          <w:rFonts w:ascii="Arial" w:eastAsia="Times New Roman" w:hAnsi="Arial" w:cs="Arial"/>
          <w:bCs/>
          <w:spacing w:val="-3"/>
          <w:lang w:eastAsia="en-AU"/>
        </w:rPr>
        <w:t xml:space="preserve"> the ‘local lawyer’ requirement for a deputy president (Court)</w:t>
      </w:r>
      <w:r>
        <w:rPr>
          <w:rFonts w:ascii="Arial" w:eastAsia="Times New Roman" w:hAnsi="Arial" w:cs="Arial"/>
          <w:bCs/>
          <w:spacing w:val="-3"/>
          <w:lang w:eastAsia="en-AU"/>
        </w:rPr>
        <w:t xml:space="preserve"> is to be removed,</w:t>
      </w:r>
      <w:r w:rsidR="00026CCD">
        <w:rPr>
          <w:rFonts w:ascii="Arial" w:eastAsia="Times New Roman" w:hAnsi="Arial" w:cs="Arial"/>
          <w:bCs/>
          <w:spacing w:val="-3"/>
          <w:lang w:eastAsia="en-AU"/>
        </w:rPr>
        <w:t xml:space="preserve"> to become consistent with the requirement for the vice president (Court).</w:t>
      </w:r>
    </w:p>
    <w:p w:rsidR="000C7A53" w:rsidRPr="004614D6" w:rsidRDefault="000C7A53" w:rsidP="006E7902">
      <w:pPr>
        <w:numPr>
          <w:ilvl w:val="0"/>
          <w:numId w:val="1"/>
        </w:numPr>
        <w:tabs>
          <w:tab w:val="clear" w:pos="720"/>
        </w:tabs>
        <w:spacing w:before="240" w:after="0" w:line="240" w:lineRule="auto"/>
        <w:ind w:left="360" w:hanging="502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r>
        <w:rPr>
          <w:rFonts w:ascii="Arial" w:eastAsia="Times New Roman" w:hAnsi="Arial" w:cs="Arial"/>
          <w:bCs/>
          <w:color w:val="000000"/>
          <w:spacing w:val="-3"/>
          <w:u w:val="single"/>
          <w:lang w:eastAsia="en-AU"/>
        </w:rPr>
        <w:t>Cabinet approved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the </w:t>
      </w:r>
      <w:r w:rsidRPr="00026CCD">
        <w:rPr>
          <w:rFonts w:ascii="Arial" w:eastAsia="Times New Roman" w:hAnsi="Arial" w:cs="Arial"/>
          <w:bCs/>
          <w:spacing w:val="-3"/>
          <w:lang w:eastAsia="en-AU"/>
        </w:rPr>
        <w:t>introduction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of the amendments to the </w:t>
      </w:r>
      <w:r w:rsidR="00026CCD" w:rsidRPr="00026CCD">
        <w:rPr>
          <w:rFonts w:ascii="Arial" w:eastAsia="Times New Roman" w:hAnsi="Arial" w:cs="Arial"/>
          <w:bCs/>
          <w:i/>
          <w:spacing w:val="-3"/>
          <w:lang w:eastAsia="en-AU"/>
        </w:rPr>
        <w:t>Industrial Relations Act 1999</w:t>
      </w:r>
      <w:r w:rsidR="00026CCD" w:rsidRPr="00026CCD">
        <w:rPr>
          <w:rFonts w:ascii="Arial" w:eastAsia="Times New Roman" w:hAnsi="Arial" w:cs="Arial"/>
          <w:bCs/>
          <w:spacing w:val="-3"/>
          <w:lang w:eastAsia="en-AU"/>
        </w:rPr>
        <w:t xml:space="preserve"> </w:t>
      </w:r>
      <w:r>
        <w:rPr>
          <w:rFonts w:ascii="Arial" w:eastAsia="Times New Roman" w:hAnsi="Arial" w:cs="Arial"/>
          <w:bCs/>
          <w:color w:val="000000"/>
          <w:spacing w:val="-3"/>
          <w:lang w:eastAsia="en-AU"/>
        </w:rPr>
        <w:t>during consideration in detail of the Workers’ Compensation and Rehabilitation and Other Legislation Amendment Bill 2015</w:t>
      </w:r>
      <w:r w:rsidR="00026CCD">
        <w:rPr>
          <w:rFonts w:ascii="Arial" w:eastAsia="Times New Roman" w:hAnsi="Arial" w:cs="Arial"/>
          <w:bCs/>
          <w:color w:val="000000"/>
          <w:spacing w:val="-3"/>
          <w:lang w:eastAsia="en-AU"/>
        </w:rPr>
        <w:t xml:space="preserve"> in the Legislative Assembly.</w:t>
      </w:r>
    </w:p>
    <w:p w:rsidR="000C7A53" w:rsidRPr="00026CCD" w:rsidRDefault="000C7A53" w:rsidP="00792140">
      <w:pPr>
        <w:numPr>
          <w:ilvl w:val="0"/>
          <w:numId w:val="1"/>
        </w:numPr>
        <w:tabs>
          <w:tab w:val="clear" w:pos="720"/>
        </w:tabs>
        <w:spacing w:before="360" w:after="0" w:line="240" w:lineRule="auto"/>
        <w:ind w:left="360" w:hanging="502"/>
        <w:jc w:val="both"/>
        <w:rPr>
          <w:rFonts w:ascii="Arial" w:eastAsia="Times New Roman" w:hAnsi="Arial" w:cs="Arial"/>
          <w:bCs/>
          <w:color w:val="000000"/>
          <w:spacing w:val="-3"/>
          <w:u w:val="single"/>
          <w:lang w:eastAsia="en-AU"/>
        </w:rPr>
      </w:pPr>
      <w:r w:rsidRPr="00026CCD">
        <w:rPr>
          <w:rFonts w:ascii="Arial" w:eastAsia="Times New Roman" w:hAnsi="Arial" w:cs="Arial"/>
          <w:bCs/>
          <w:i/>
          <w:spacing w:val="-3"/>
          <w:u w:val="single"/>
          <w:lang w:eastAsia="en-AU"/>
        </w:rPr>
        <w:t>Attachments</w:t>
      </w:r>
    </w:p>
    <w:p w:rsidR="000C7A53" w:rsidRPr="00026CCD" w:rsidRDefault="00D8437F" w:rsidP="00792140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hyperlink r:id="rId11" w:history="1">
        <w:r w:rsidR="00026CCD" w:rsidRPr="0038114D">
          <w:rPr>
            <w:rStyle w:val="Hyperlink"/>
            <w:rFonts w:ascii="Arial" w:eastAsia="Times New Roman" w:hAnsi="Arial" w:cs="Arial"/>
            <w:bCs/>
            <w:spacing w:val="-3"/>
            <w:lang w:eastAsia="en-AU"/>
          </w:rPr>
          <w:t>Workers’ Compensation and Rehabilitation and Other Legislation Amendment Bill 2015</w:t>
        </w:r>
      </w:hyperlink>
    </w:p>
    <w:p w:rsidR="00E71409" w:rsidRPr="00792140" w:rsidRDefault="00D8437F" w:rsidP="00792140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color w:val="000000"/>
          <w:spacing w:val="-3"/>
          <w:lang w:eastAsia="en-AU"/>
        </w:rPr>
      </w:pPr>
      <w:hyperlink r:id="rId12" w:history="1">
        <w:r w:rsidR="000C7A53" w:rsidRPr="0038114D">
          <w:rPr>
            <w:rStyle w:val="Hyperlink"/>
            <w:rFonts w:ascii="Arial" w:eastAsia="Times New Roman" w:hAnsi="Arial" w:cs="Arial"/>
            <w:bCs/>
            <w:spacing w:val="-3"/>
            <w:lang w:eastAsia="en-AU"/>
          </w:rPr>
          <w:t>Explanatory Notes</w:t>
        </w:r>
      </w:hyperlink>
    </w:p>
    <w:sectPr w:rsidR="00E71409" w:rsidRPr="00792140" w:rsidSect="006E7902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77" w:rsidRDefault="00D41577" w:rsidP="004614D6">
      <w:pPr>
        <w:spacing w:after="0" w:line="240" w:lineRule="auto"/>
      </w:pPr>
      <w:r>
        <w:separator/>
      </w:r>
    </w:p>
  </w:endnote>
  <w:endnote w:type="continuationSeparator" w:id="0">
    <w:p w:rsidR="00D41577" w:rsidRDefault="00D41577" w:rsidP="0046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77" w:rsidRDefault="00D41577" w:rsidP="004614D6">
      <w:pPr>
        <w:spacing w:after="0" w:line="240" w:lineRule="auto"/>
      </w:pPr>
      <w:r>
        <w:separator/>
      </w:r>
    </w:p>
  </w:footnote>
  <w:footnote w:type="continuationSeparator" w:id="0">
    <w:p w:rsidR="00D41577" w:rsidRDefault="00D41577" w:rsidP="0046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3A" w:rsidRPr="004614D6" w:rsidRDefault="00313C3A" w:rsidP="00313C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sz w:val="28"/>
        <w:lang w:eastAsia="en-AU"/>
      </w:rPr>
    </w:pPr>
    <w:r w:rsidRPr="004614D6">
      <w:rPr>
        <w:rFonts w:ascii="Arial" w:eastAsia="Times New Roman" w:hAnsi="Arial" w:cs="Arial"/>
        <w:b/>
        <w:sz w:val="28"/>
        <w:lang w:eastAsia="en-AU"/>
      </w:rPr>
      <w:t>Queensland Government</w:t>
    </w:r>
  </w:p>
  <w:p w:rsidR="00313C3A" w:rsidRPr="004614D6" w:rsidRDefault="00313C3A" w:rsidP="00313C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153"/>
        <w:tab w:val="right" w:pos="8306"/>
        <w:tab w:val="right" w:pos="9072"/>
      </w:tabs>
      <w:spacing w:after="0" w:line="240" w:lineRule="auto"/>
      <w:rPr>
        <w:rFonts w:ascii="Arial" w:eastAsia="Times New Roman" w:hAnsi="Arial" w:cs="Arial"/>
        <w:b/>
        <w:sz w:val="14"/>
        <w:u w:val="single"/>
        <w:lang w:eastAsia="en-AU"/>
      </w:rPr>
    </w:pPr>
  </w:p>
  <w:p w:rsidR="00313C3A" w:rsidRPr="004614D6" w:rsidRDefault="00313C3A" w:rsidP="00313C3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center" w:pos="4153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lang w:eastAsia="en-AU"/>
      </w:rPr>
    </w:pPr>
    <w:r w:rsidRPr="004614D6">
      <w:rPr>
        <w:rFonts w:ascii="Arial" w:eastAsia="Times New Roman" w:hAnsi="Arial" w:cs="Arial"/>
        <w:b/>
        <w:lang w:eastAsia="en-AU"/>
      </w:rPr>
      <w:t xml:space="preserve">Cabinet – </w:t>
    </w:r>
    <w:r>
      <w:rPr>
        <w:rFonts w:ascii="Arial" w:eastAsia="Times New Roman" w:hAnsi="Arial" w:cs="Arial"/>
        <w:b/>
        <w:lang w:eastAsia="en-AU"/>
      </w:rPr>
      <w:t>September</w:t>
    </w:r>
    <w:r w:rsidRPr="004614D6">
      <w:rPr>
        <w:rFonts w:ascii="Arial" w:eastAsia="Times New Roman" w:hAnsi="Arial" w:cs="Arial"/>
        <w:b/>
        <w:lang w:eastAsia="en-AU"/>
      </w:rPr>
      <w:t xml:space="preserve"> 2015</w:t>
    </w:r>
  </w:p>
  <w:p w:rsidR="00313C3A" w:rsidRDefault="00313C3A" w:rsidP="00313C3A">
    <w:pPr>
      <w:tabs>
        <w:tab w:val="center" w:pos="4153"/>
        <w:tab w:val="right" w:pos="8306"/>
      </w:tabs>
      <w:spacing w:after="0" w:line="240" w:lineRule="auto"/>
      <w:jc w:val="both"/>
      <w:rPr>
        <w:rFonts w:ascii="Arial" w:eastAsia="Times New Roman" w:hAnsi="Arial" w:cs="Arial"/>
        <w:b/>
        <w:u w:val="single"/>
        <w:lang w:eastAsia="en-AU"/>
      </w:rPr>
    </w:pPr>
  </w:p>
  <w:p w:rsidR="00313C3A" w:rsidRPr="000C7A53" w:rsidRDefault="00313C3A" w:rsidP="00313C3A">
    <w:pPr>
      <w:tabs>
        <w:tab w:val="center" w:pos="4153"/>
      </w:tabs>
      <w:spacing w:after="0" w:line="240" w:lineRule="auto"/>
      <w:ind w:left="-142" w:right="-166"/>
      <w:jc w:val="both"/>
      <w:rPr>
        <w:rFonts w:ascii="Arial" w:eastAsia="Times New Roman" w:hAnsi="Arial" w:cs="Arial"/>
        <w:b/>
        <w:u w:val="single"/>
        <w:lang w:eastAsia="en-AU"/>
      </w:rPr>
    </w:pPr>
    <w:r w:rsidRPr="000C7A53">
      <w:rPr>
        <w:rFonts w:ascii="Arial" w:eastAsia="Times New Roman" w:hAnsi="Arial" w:cs="Arial"/>
        <w:b/>
        <w:u w:val="single"/>
        <w:lang w:eastAsia="en-AU"/>
      </w:rPr>
      <w:t>Returning administrative responsibilit</w:t>
    </w:r>
    <w:r>
      <w:rPr>
        <w:rFonts w:ascii="Arial" w:eastAsia="Times New Roman" w:hAnsi="Arial" w:cs="Arial"/>
        <w:b/>
        <w:u w:val="single"/>
        <w:lang w:eastAsia="en-AU"/>
      </w:rPr>
      <w:t>y</w:t>
    </w:r>
    <w:r w:rsidRPr="000C7A53">
      <w:rPr>
        <w:rFonts w:ascii="Arial" w:eastAsia="Times New Roman" w:hAnsi="Arial" w:cs="Arial"/>
        <w:b/>
        <w:u w:val="single"/>
        <w:lang w:eastAsia="en-AU"/>
      </w:rPr>
      <w:t xml:space="preserve"> for the Queensland Industrial Relations Commission </w:t>
    </w:r>
    <w:r>
      <w:rPr>
        <w:rFonts w:ascii="Arial" w:eastAsia="Times New Roman" w:hAnsi="Arial" w:cs="Arial"/>
        <w:b/>
        <w:u w:val="single"/>
        <w:lang w:eastAsia="en-AU"/>
      </w:rPr>
      <w:t>(Commission) to the president of the Commission and the Industrial Court of Queensland</w:t>
    </w:r>
  </w:p>
  <w:p w:rsidR="00313C3A" w:rsidRPr="004614D6" w:rsidRDefault="00313C3A" w:rsidP="00792140">
    <w:pPr>
      <w:tabs>
        <w:tab w:val="center" w:pos="4153"/>
      </w:tabs>
      <w:spacing w:before="120" w:after="0" w:line="240" w:lineRule="auto"/>
      <w:ind w:left="-142" w:right="-166"/>
      <w:jc w:val="both"/>
      <w:rPr>
        <w:rFonts w:ascii="Arial" w:eastAsia="Times New Roman" w:hAnsi="Arial" w:cs="Arial"/>
        <w:b/>
        <w:u w:val="single"/>
        <w:lang w:eastAsia="en-AU"/>
      </w:rPr>
    </w:pPr>
    <w:r w:rsidRPr="004614D6">
      <w:rPr>
        <w:rFonts w:ascii="Arial" w:eastAsia="Times New Roman" w:hAnsi="Arial" w:cs="Arial"/>
        <w:b/>
        <w:u w:val="single"/>
        <w:lang w:eastAsia="en-AU"/>
      </w:rPr>
      <w:t>Treasurer, Minister for Employment and Industrial Relations</w:t>
    </w:r>
    <w:r>
      <w:rPr>
        <w:rFonts w:ascii="Arial" w:eastAsia="Times New Roman" w:hAnsi="Arial" w:cs="Arial"/>
        <w:b/>
        <w:u w:val="single"/>
        <w:lang w:eastAsia="en-AU"/>
      </w:rPr>
      <w:t>,</w:t>
    </w:r>
    <w:r w:rsidRPr="004614D6">
      <w:rPr>
        <w:rFonts w:ascii="Arial" w:eastAsia="Times New Roman" w:hAnsi="Arial" w:cs="Arial"/>
        <w:b/>
        <w:u w:val="single"/>
        <w:lang w:eastAsia="en-AU"/>
      </w:rPr>
      <w:t xml:space="preserve"> Minister for Aboriginal and Torres Strait Islander Partnerships</w:t>
    </w:r>
  </w:p>
  <w:p w:rsidR="00313C3A" w:rsidRPr="004614D6" w:rsidRDefault="00313C3A" w:rsidP="00313C3A"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14FA1"/>
    <w:multiLevelType w:val="hybridMultilevel"/>
    <w:tmpl w:val="28C8E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D6"/>
    <w:rsid w:val="00023C95"/>
    <w:rsid w:val="00026CCD"/>
    <w:rsid w:val="000C7A53"/>
    <w:rsid w:val="000D49C0"/>
    <w:rsid w:val="000F32A4"/>
    <w:rsid w:val="001C5F9B"/>
    <w:rsid w:val="0023006D"/>
    <w:rsid w:val="00293B56"/>
    <w:rsid w:val="00313C3A"/>
    <w:rsid w:val="0038114D"/>
    <w:rsid w:val="003B1608"/>
    <w:rsid w:val="003C6A89"/>
    <w:rsid w:val="004010B5"/>
    <w:rsid w:val="00450AF7"/>
    <w:rsid w:val="004614D6"/>
    <w:rsid w:val="004C1A73"/>
    <w:rsid w:val="00565898"/>
    <w:rsid w:val="00591C2F"/>
    <w:rsid w:val="006118C0"/>
    <w:rsid w:val="00657338"/>
    <w:rsid w:val="006E7902"/>
    <w:rsid w:val="007200AD"/>
    <w:rsid w:val="00772224"/>
    <w:rsid w:val="00792140"/>
    <w:rsid w:val="009A0A58"/>
    <w:rsid w:val="00AA29E8"/>
    <w:rsid w:val="00B825A7"/>
    <w:rsid w:val="00C721B0"/>
    <w:rsid w:val="00D41577"/>
    <w:rsid w:val="00D56305"/>
    <w:rsid w:val="00D8437F"/>
    <w:rsid w:val="00E71409"/>
    <w:rsid w:val="00EC55EA"/>
    <w:rsid w:val="00F36FE7"/>
    <w:rsid w:val="00F5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4D6"/>
  </w:style>
  <w:style w:type="paragraph" w:styleId="Footer">
    <w:name w:val="footer"/>
    <w:basedOn w:val="Normal"/>
    <w:link w:val="FooterChar"/>
    <w:uiPriority w:val="99"/>
    <w:unhideWhenUsed/>
    <w:rsid w:val="00461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4D6"/>
  </w:style>
  <w:style w:type="paragraph" w:styleId="ListParagraph">
    <w:name w:val="List Paragraph"/>
    <w:basedOn w:val="Normal"/>
    <w:uiPriority w:val="34"/>
    <w:qFormat/>
    <w:rsid w:val="000C7A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A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811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TT Document" ma:contentTypeID="0x010100C7BD08439FA548A39DD6F4EEA9A4DD920028A0CA45A385418C914557FFC286F13E004EB8CA558F2C6042A832EDA2471880AF" ma:contentTypeVersion="3" ma:contentTypeDescription="QTT document content type to be used in active sites" ma:contentTypeScope="" ma:versionID="63905ebe11d5e3d54e6b77920c066946">
  <xsd:schema xmlns:xsd="http://www.w3.org/2001/XMLSchema" xmlns:xs="http://www.w3.org/2001/XMLSchema" xmlns:p="http://schemas.microsoft.com/office/2006/metadata/properties" xmlns:ns2="http://schemas.microsoft.com/Sharepoint/v3" xmlns:ns3="72d8744d-2c47-46f4-9bdd-407e14137c3c" targetNamespace="http://schemas.microsoft.com/office/2006/metadata/properties" ma:root="true" ma:fieldsID="3e3ce3897c3805e59229fe04e1c343fc" ns2:_="" ns3:_="">
    <xsd:import namespace="http://schemas.microsoft.com/Sharepoint/v3"/>
    <xsd:import namespace="72d8744d-2c47-46f4-9bdd-407e14137c3c"/>
    <xsd:element name="properties">
      <xsd:complexType>
        <xsd:sequence>
          <xsd:element name="documentManagement">
            <xsd:complexType>
              <xsd:all>
                <xsd:element ref="ns2:Nexus_MetadataSummary" minOccurs="0"/>
                <xsd:element ref="ns3:Nexus_ReadOnly" minOccurs="0"/>
                <xsd:element ref="ns3:Nexus_Record" minOccurs="0"/>
                <xsd:element ref="ns3:Nexus_SecurityClassification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exus_MetadataSummary" ma:index="8" nillable="true" ma:displayName="Metadata summary" ma:internalName="Nexus_Metadat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8744d-2c47-46f4-9bdd-407e14137c3c" elementFormDefault="qualified">
    <xsd:import namespace="http://schemas.microsoft.com/office/2006/documentManagement/types"/>
    <xsd:import namespace="http://schemas.microsoft.com/office/infopath/2007/PartnerControls"/>
    <xsd:element name="Nexus_ReadOnly" ma:index="9" nillable="true" ma:displayName="Read only" ma:internalName="Nexus_ReadOnly">
      <xsd:simpleType>
        <xsd:restriction base="dms:Text">
          <xsd:maxLength value="255"/>
        </xsd:restriction>
      </xsd:simpleType>
    </xsd:element>
    <xsd:element name="Nexus_Record" ma:index="10" nillable="true" ma:displayName="Record" ma:internalName="Nexus_Record">
      <xsd:simpleType>
        <xsd:restriction base="dms:Text">
          <xsd:maxLength value="255"/>
        </xsd:restriction>
      </xsd:simpleType>
    </xsd:element>
    <xsd:element name="Nexus_SecurityClassification" ma:index="11" ma:displayName="Security classification" ma:default="UNCLASSIFIED" ma:description="Assessment of the requirements for confidentiality, availability and integrity of an asset." ma:format="Dropdown" ma:internalName="Nexus_SecurityClassification">
      <xsd:simpleType>
        <xsd:restriction base="dms:Choice">
          <xsd:enumeration value="UNCLASSIFIED"/>
          <xsd:enumeration value="IN CONFIDENCE"/>
          <xsd:enumeration value="PROTECTED"/>
          <xsd:enumeration value="HIGHLY PROTECTED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us_Record xmlns="72d8744d-2c47-46f4-9bdd-407e14137c3c" xsi:nil="true"/>
    <Nexus_SecurityClassification xmlns="72d8744d-2c47-46f4-9bdd-407e14137c3c">UNCLASSIFIED</Nexus_SecurityClassification>
    <Nexus_ReadOnly xmlns="72d8744d-2c47-46f4-9bdd-407e14137c3c" xsi:nil="true"/>
    <Nexus_MetadataSummary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E24130-D7CB-4359-B1A5-D01A035F29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57166A-3251-44F9-80A0-E8D06C690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d8744d-2c47-46f4-9bdd-407e1413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49464D-8F1B-4873-8072-4BBAD45AF15C}">
  <ds:schemaRefs>
    <ds:schemaRef ds:uri="http://schemas.microsoft.com/office/2006/metadata/properties"/>
    <ds:schemaRef ds:uri="http://schemas.microsoft.com/office/infopath/2007/PartnerControls"/>
    <ds:schemaRef ds:uri="72d8744d-2c47-46f4-9bdd-407e14137c3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9834D5-4C84-41CA-AE20-BD618C1326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918</CharactersWithSpaces>
  <SharedDoc>false</SharedDoc>
  <HyperlinkBase>https://www.cabinet.qld.gov.au/documents/2015/Sep/QIRCAdminResp/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2015-11-17T02:50:00Z</cp:lastPrinted>
  <dcterms:created xsi:type="dcterms:W3CDTF">2017-10-25T01:36:00Z</dcterms:created>
  <dcterms:modified xsi:type="dcterms:W3CDTF">2018-03-06T01:33:00Z</dcterms:modified>
  <cp:category>Industrial_Relations,Legislation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0x010100C7BD08439FA548A39DD6F4EEA9A4DD920028A0CA45A385418C914557FFC286F13E004EB8CA558F2C6042A832EDA2471880AF</vt:lpwstr>
  </property>
  <property fmtid="{D5CDD505-2E9C-101B-9397-08002B2CF9AE}" pid="4" name="_dlc_DocIdItemGuid">
    <vt:lpwstr>410646a1-5342-4fef-ab4f-01e2ee1e6354</vt:lpwstr>
  </property>
  <property fmtid="{D5CDD505-2E9C-101B-9397-08002B2CF9AE}" pid="5" name="_dlc_DocId">
    <vt:lpwstr>BUSNCLLO-74-37</vt:lpwstr>
  </property>
  <property fmtid="{D5CDD505-2E9C-101B-9397-08002B2CF9AE}" pid="6" name="_dlc_DocIdUrl">
    <vt:lpwstr>https://nexus.treasury.qld.gov.au/business/cabinet-services/dpc-reporting/_layouts/15/DocIdRedir.aspx?ID=BUSNCLLO-74-37, BUSNCLLO-74-37</vt:lpwstr>
  </property>
</Properties>
</file>